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8257E" w14:textId="07BE09D1" w:rsidR="009B63FC" w:rsidRDefault="003D02D9" w:rsidP="00981029">
      <w:pPr>
        <w:pStyle w:val="Titre1"/>
        <w:rPr>
          <w:b w:val="0"/>
          <w:bCs w:val="0"/>
          <w:sz w:val="40"/>
        </w:rPr>
      </w:pPr>
      <w:r w:rsidRPr="003D02D9">
        <w:rPr>
          <w:rFonts w:ascii="Calibri" w:hAnsi="Calibri"/>
          <w:sz w:val="40"/>
        </w:rPr>
        <w:t>Répartition du portefeuille des titres en 2015</w:t>
      </w:r>
      <w:r w:rsidR="009B63FC" w:rsidRPr="009B63FC">
        <w:rPr>
          <w:sz w:val="40"/>
        </w:rPr>
        <w:t xml:space="preserve"> </w:t>
      </w:r>
    </w:p>
    <w:p w14:paraId="24EFF920" w14:textId="77777777" w:rsidR="003D02D9" w:rsidRPr="003D02D9" w:rsidRDefault="003D02D9" w:rsidP="00981029">
      <w:pPr>
        <w:pStyle w:val="Paragraphedeliste"/>
        <w:numPr>
          <w:ilvl w:val="0"/>
          <w:numId w:val="3"/>
        </w:numPr>
        <w:rPr>
          <w:sz w:val="24"/>
        </w:rPr>
      </w:pPr>
      <w:r w:rsidRPr="003D02D9">
        <w:rPr>
          <w:sz w:val="24"/>
        </w:rPr>
        <w:t>57 % de titres de taux en investissement (soit 42,6 Md€)</w:t>
      </w:r>
    </w:p>
    <w:p w14:paraId="2535184B" w14:textId="77777777" w:rsidR="003D02D9" w:rsidRPr="003D02D9" w:rsidRDefault="003D02D9" w:rsidP="00981029">
      <w:pPr>
        <w:pStyle w:val="Paragraphedeliste"/>
        <w:numPr>
          <w:ilvl w:val="0"/>
          <w:numId w:val="3"/>
        </w:numPr>
        <w:rPr>
          <w:sz w:val="24"/>
        </w:rPr>
      </w:pPr>
      <w:r w:rsidRPr="003D02D9">
        <w:rPr>
          <w:sz w:val="24"/>
        </w:rPr>
        <w:t>27 % de titres de taux en placement (soit 20,1 Md€)</w:t>
      </w:r>
    </w:p>
    <w:p w14:paraId="7EA36B98" w14:textId="2FCF07F3" w:rsidR="00BD4209" w:rsidRPr="003D02D9" w:rsidRDefault="003D02D9" w:rsidP="00981029">
      <w:pPr>
        <w:pStyle w:val="Paragraphedeliste"/>
        <w:numPr>
          <w:ilvl w:val="0"/>
          <w:numId w:val="3"/>
        </w:numPr>
        <w:rPr>
          <w:sz w:val="24"/>
        </w:rPr>
      </w:pPr>
      <w:r w:rsidRPr="003D02D9">
        <w:rPr>
          <w:sz w:val="24"/>
        </w:rPr>
        <w:t>16,5 % (soit 12,4 Md€) d’actions et de fonds</w:t>
      </w:r>
    </w:p>
    <w:p w14:paraId="393E0A1F" w14:textId="4CB093AF" w:rsidR="00DA7766" w:rsidRPr="00BD4209" w:rsidRDefault="00BD4209" w:rsidP="00BD4209">
      <w:pPr>
        <w:pStyle w:val="Paragraphedeliste"/>
        <w:rPr>
          <w:sz w:val="24"/>
        </w:rPr>
      </w:pPr>
      <w:r w:rsidRPr="00BD4209">
        <w:rPr>
          <w:sz w:val="24"/>
        </w:rPr>
        <w:t xml:space="preserve"> </w:t>
      </w:r>
      <w:bookmarkStart w:id="0" w:name="_GoBack"/>
      <w:bookmarkEnd w:id="0"/>
    </w:p>
    <w:sectPr w:rsidR="00DA7766" w:rsidRPr="00BD4209" w:rsidSect="00BD4209">
      <w:pgSz w:w="11900" w:h="16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06C34" w14:textId="77777777" w:rsidR="00981029" w:rsidRDefault="00981029" w:rsidP="00981029">
      <w:pPr>
        <w:spacing w:after="0" w:line="240" w:lineRule="auto"/>
      </w:pPr>
      <w:r>
        <w:separator/>
      </w:r>
    </w:p>
  </w:endnote>
  <w:endnote w:type="continuationSeparator" w:id="0">
    <w:p w14:paraId="1265DBB3" w14:textId="77777777" w:rsidR="00981029" w:rsidRDefault="00981029" w:rsidP="00981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F0684" w14:textId="77777777" w:rsidR="00981029" w:rsidRDefault="00981029" w:rsidP="00981029">
      <w:pPr>
        <w:spacing w:after="0" w:line="240" w:lineRule="auto"/>
      </w:pPr>
      <w:r>
        <w:separator/>
      </w:r>
    </w:p>
  </w:footnote>
  <w:footnote w:type="continuationSeparator" w:id="0">
    <w:p w14:paraId="5B3B4AFD" w14:textId="77777777" w:rsidR="00981029" w:rsidRDefault="00981029" w:rsidP="00981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2495"/>
    <w:multiLevelType w:val="hybridMultilevel"/>
    <w:tmpl w:val="8C48423C"/>
    <w:lvl w:ilvl="0" w:tplc="B566992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00839"/>
    <w:multiLevelType w:val="hybridMultilevel"/>
    <w:tmpl w:val="ADAC3406"/>
    <w:lvl w:ilvl="0" w:tplc="1B62E6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02E00"/>
    <w:multiLevelType w:val="hybridMultilevel"/>
    <w:tmpl w:val="FC90B2F4"/>
    <w:lvl w:ilvl="0" w:tplc="14AECCD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D4"/>
    <w:rsid w:val="000E5FBC"/>
    <w:rsid w:val="001E19B8"/>
    <w:rsid w:val="002A0899"/>
    <w:rsid w:val="003D02D9"/>
    <w:rsid w:val="00596CD8"/>
    <w:rsid w:val="00891DED"/>
    <w:rsid w:val="00981029"/>
    <w:rsid w:val="009B63FC"/>
    <w:rsid w:val="00BD4209"/>
    <w:rsid w:val="00C17074"/>
    <w:rsid w:val="00C228D4"/>
    <w:rsid w:val="00CE78F2"/>
    <w:rsid w:val="00DA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0B76DB"/>
  <w14:defaultImageDpi w14:val="300"/>
  <w15:docId w15:val="{B4D36695-8EC6-44EE-B5C5-5F423F6A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228D4"/>
    <w:pPr>
      <w:spacing w:after="200" w:line="276" w:lineRule="auto"/>
    </w:pPr>
    <w:rPr>
      <w:rFonts w:asciiTheme="minorHAnsi" w:eastAsiaTheme="minorHAnsi" w:hAnsiTheme="minorHAnsi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22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28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228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228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228D4"/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C228D4"/>
    <w:rPr>
      <w:rFonts w:asciiTheme="majorHAnsi" w:eastAsiaTheme="majorEastAsia" w:hAnsiTheme="majorHAnsi" w:cstheme="majorBidi"/>
      <w:b/>
      <w:bCs/>
      <w:color w:val="4F81BD" w:themeColor="accent1"/>
      <w:sz w:val="18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C228D4"/>
    <w:rPr>
      <w:rFonts w:asciiTheme="majorHAnsi" w:eastAsiaTheme="majorEastAsia" w:hAnsiTheme="majorHAnsi" w:cstheme="majorBidi"/>
      <w:b/>
      <w:bCs/>
      <w:i/>
      <w:iCs/>
      <w:sz w:val="18"/>
      <w:lang w:eastAsia="en-US"/>
    </w:rPr>
  </w:style>
  <w:style w:type="paragraph" w:styleId="Paragraphedeliste">
    <w:name w:val="List Paragraph"/>
    <w:basedOn w:val="Normal"/>
    <w:uiPriority w:val="34"/>
    <w:qFormat/>
    <w:rsid w:val="00C228D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228D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81029"/>
    <w:pPr>
      <w:spacing w:after="0"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981029"/>
    <w:rPr>
      <w:rFonts w:asciiTheme="minorHAnsi" w:eastAsiaTheme="minorHAnsi" w:hAnsiTheme="minorHAnsi"/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9810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BC74D-6B25-44A0-92B1-9DF20BF2F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</dc:creator>
  <cp:keywords/>
  <dc:description/>
  <cp:lastModifiedBy>Firdaouss</cp:lastModifiedBy>
  <cp:revision>8</cp:revision>
  <dcterms:created xsi:type="dcterms:W3CDTF">2016-08-22T13:38:00Z</dcterms:created>
  <dcterms:modified xsi:type="dcterms:W3CDTF">2016-09-06T15:53:00Z</dcterms:modified>
</cp:coreProperties>
</file>