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EB8C" w14:textId="0629554F" w:rsidR="00673A77" w:rsidRDefault="00673A77" w:rsidP="00673A77">
      <w:pPr>
        <w:jc w:val="both"/>
        <w:rPr>
          <w:b/>
          <w:bCs/>
        </w:rPr>
      </w:pPr>
      <w:r w:rsidRPr="00673A77">
        <w:rPr>
          <w:b/>
          <w:bCs/>
        </w:rPr>
        <w:drawing>
          <wp:inline distT="0" distB="0" distL="0" distR="0" wp14:anchorId="7ABA6E3E" wp14:editId="05CDD176">
            <wp:extent cx="5760720" cy="2809875"/>
            <wp:effectExtent l="0" t="0" r="0" b="9525"/>
            <wp:docPr id="11425360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6011" name=""/>
                    <pic:cNvPicPr/>
                  </pic:nvPicPr>
                  <pic:blipFill>
                    <a:blip r:embed="rId6"/>
                    <a:stretch>
                      <a:fillRect/>
                    </a:stretch>
                  </pic:blipFill>
                  <pic:spPr>
                    <a:xfrm>
                      <a:off x="0" y="0"/>
                      <a:ext cx="5760720" cy="2809875"/>
                    </a:xfrm>
                    <a:prstGeom prst="rect">
                      <a:avLst/>
                    </a:prstGeom>
                  </pic:spPr>
                </pic:pic>
              </a:graphicData>
            </a:graphic>
          </wp:inline>
        </w:drawing>
      </w:r>
    </w:p>
    <w:p w14:paraId="70999DAC" w14:textId="77777777" w:rsidR="00673A77" w:rsidRDefault="00673A77" w:rsidP="00673A77">
      <w:pPr>
        <w:jc w:val="both"/>
        <w:rPr>
          <w:b/>
          <w:bCs/>
        </w:rPr>
      </w:pPr>
    </w:p>
    <w:p w14:paraId="3CC93FE8" w14:textId="69C90E63" w:rsidR="00673A77" w:rsidRDefault="00673A77" w:rsidP="00673A77">
      <w:pPr>
        <w:jc w:val="both"/>
        <w:rPr>
          <w:b/>
          <w:bCs/>
        </w:rPr>
      </w:pPr>
      <w:r>
        <w:rPr>
          <w:b/>
          <w:bCs/>
        </w:rPr>
        <w:t>Cycle de recherche Enjeux de souveraineté(s)</w:t>
      </w:r>
    </w:p>
    <w:p w14:paraId="45994D24" w14:textId="6CF2E1B1" w:rsidR="003D21D4" w:rsidRPr="003D21D4" w:rsidRDefault="003D21D4" w:rsidP="00673A77">
      <w:pPr>
        <w:jc w:val="both"/>
        <w:rPr>
          <w:b/>
          <w:bCs/>
        </w:rPr>
      </w:pPr>
      <w:r w:rsidRPr="003D21D4">
        <w:rPr>
          <w:b/>
          <w:bCs/>
        </w:rPr>
        <w:t>La souveraineté, levier de relance de la transition écologique</w:t>
      </w:r>
    </w:p>
    <w:p w14:paraId="549E1BD0" w14:textId="57CD152C" w:rsidR="003D21D4" w:rsidRPr="007D12BE" w:rsidRDefault="003D21D4" w:rsidP="00673A77">
      <w:pPr>
        <w:jc w:val="both"/>
      </w:pPr>
      <w:r>
        <w:t>Séminaire</w:t>
      </w:r>
      <w:r w:rsidRPr="007D12BE">
        <w:t xml:space="preserve"> organisé </w:t>
      </w:r>
      <w:r>
        <w:t xml:space="preserve">par </w:t>
      </w:r>
      <w:r>
        <w:t>le Comité 21</w:t>
      </w:r>
      <w:r w:rsidRPr="007D12BE">
        <w:t xml:space="preserve">. </w:t>
      </w:r>
      <w:r>
        <w:t>Jeudi 21 mai 2026</w:t>
      </w:r>
    </w:p>
    <w:p w14:paraId="6A0B3CEC" w14:textId="77777777" w:rsidR="00673A77" w:rsidRDefault="00673A77" w:rsidP="00673A77">
      <w:pPr>
        <w:spacing w:after="0"/>
        <w:jc w:val="both"/>
      </w:pPr>
    </w:p>
    <w:p w14:paraId="4C2D122F" w14:textId="77777777" w:rsidR="00673A77" w:rsidRDefault="00673A77" w:rsidP="00673A77">
      <w:pPr>
        <w:spacing w:after="0"/>
        <w:jc w:val="both"/>
        <w:rPr>
          <w:rFonts w:ascii="Aptos" w:hAnsi="Aptos" w:cs="Aptos"/>
        </w:rPr>
      </w:pPr>
      <w:r w:rsidRPr="00BA5EE3">
        <w:t>Ce cycle de recherche sur les souverainetés vise à éclairer, grâce aux expertises croisées des chercheurs soutenus par l’Institut pour la recherche, des</w:t>
      </w:r>
      <w:r w:rsidRPr="00BA5EE3">
        <w:rPr>
          <w:rFonts w:ascii="Arial" w:hAnsi="Arial" w:cs="Arial"/>
        </w:rPr>
        <w:t> </w:t>
      </w:r>
      <w:r w:rsidRPr="00BA5EE3">
        <w:rPr>
          <w:i/>
          <w:iCs/>
        </w:rPr>
        <w:t>think</w:t>
      </w:r>
      <w:r w:rsidRPr="00BA5EE3">
        <w:rPr>
          <w:rFonts w:ascii="Arial" w:hAnsi="Arial" w:cs="Arial"/>
          <w:i/>
          <w:iCs/>
        </w:rPr>
        <w:t> </w:t>
      </w:r>
      <w:r w:rsidRPr="00BA5EE3">
        <w:rPr>
          <w:i/>
          <w:iCs/>
        </w:rPr>
        <w:t>tanks</w:t>
      </w:r>
      <w:r w:rsidRPr="00BA5EE3">
        <w:rPr>
          <w:rFonts w:ascii="Arial" w:hAnsi="Arial" w:cs="Arial"/>
        </w:rPr>
        <w:t> </w:t>
      </w:r>
      <w:r w:rsidRPr="00BA5EE3">
        <w:t>partenaires et des experts du groupe Caisse des Dépôts,</w:t>
      </w:r>
      <w:r w:rsidRPr="00BA5EE3">
        <w:rPr>
          <w:rFonts w:ascii="Arial" w:hAnsi="Arial" w:cs="Arial"/>
        </w:rPr>
        <w:t> </w:t>
      </w:r>
      <w:r w:rsidRPr="00BA5EE3">
        <w:t>les priorit</w:t>
      </w:r>
      <w:r w:rsidRPr="00BA5EE3">
        <w:rPr>
          <w:rFonts w:ascii="Aptos" w:hAnsi="Aptos" w:cs="Aptos"/>
        </w:rPr>
        <w:t>é</w:t>
      </w:r>
      <w:r w:rsidRPr="00BA5EE3">
        <w:t>s d</w:t>
      </w:r>
      <w:r w:rsidRPr="00BA5EE3">
        <w:rPr>
          <w:rFonts w:ascii="Aptos" w:hAnsi="Aptos" w:cs="Aptos"/>
        </w:rPr>
        <w:t>’</w:t>
      </w:r>
      <w:r w:rsidRPr="00BA5EE3">
        <w:t>action et les leviers d</w:t>
      </w:r>
      <w:r w:rsidRPr="00BA5EE3">
        <w:rPr>
          <w:rFonts w:ascii="Aptos" w:hAnsi="Aptos" w:cs="Aptos"/>
        </w:rPr>
        <w:t>’</w:t>
      </w:r>
      <w:r w:rsidRPr="00BA5EE3">
        <w:t>autonomie strat</w:t>
      </w:r>
      <w:r w:rsidRPr="00BA5EE3">
        <w:rPr>
          <w:rFonts w:ascii="Aptos" w:hAnsi="Aptos" w:cs="Aptos"/>
        </w:rPr>
        <w:t>é</w:t>
      </w:r>
      <w:r w:rsidRPr="00BA5EE3">
        <w:t>gique dans les domaines industriel,</w:t>
      </w:r>
      <w:r w:rsidRPr="00BA5EE3">
        <w:rPr>
          <w:rFonts w:ascii="Aptos" w:hAnsi="Aptos" w:cs="Aptos"/>
        </w:rPr>
        <w:t> é</w:t>
      </w:r>
      <w:r w:rsidRPr="00BA5EE3">
        <w:t>nerg</w:t>
      </w:r>
      <w:r w:rsidRPr="00BA5EE3">
        <w:rPr>
          <w:rFonts w:ascii="Aptos" w:hAnsi="Aptos" w:cs="Aptos"/>
        </w:rPr>
        <w:t>é</w:t>
      </w:r>
      <w:r w:rsidRPr="00BA5EE3">
        <w:t>tique, num</w:t>
      </w:r>
      <w:r w:rsidRPr="00BA5EE3">
        <w:rPr>
          <w:rFonts w:ascii="Aptos" w:hAnsi="Aptos" w:cs="Aptos"/>
        </w:rPr>
        <w:t>é</w:t>
      </w:r>
      <w:r w:rsidRPr="00BA5EE3">
        <w:t>rique et financier.</w:t>
      </w:r>
      <w:r w:rsidRPr="00BA5EE3">
        <w:rPr>
          <w:rFonts w:ascii="Arial" w:hAnsi="Arial" w:cs="Arial"/>
        </w:rPr>
        <w:t>   </w:t>
      </w:r>
      <w:r w:rsidRPr="00BA5EE3">
        <w:rPr>
          <w:rFonts w:ascii="Aptos" w:hAnsi="Aptos" w:cs="Aptos"/>
        </w:rPr>
        <w:t> </w:t>
      </w:r>
    </w:p>
    <w:p w14:paraId="0BB6CFDB" w14:textId="77777777" w:rsidR="00673A77" w:rsidRDefault="00673A77" w:rsidP="00673A77">
      <w:pPr>
        <w:jc w:val="both"/>
      </w:pPr>
    </w:p>
    <w:p w14:paraId="5DB90579" w14:textId="7C768663" w:rsidR="00E90C06" w:rsidRPr="00E90C06" w:rsidRDefault="00E90C06" w:rsidP="00673A77">
      <w:pPr>
        <w:jc w:val="both"/>
      </w:pPr>
      <w:r w:rsidRPr="00E90C06">
        <w:t xml:space="preserve">La cinquième session du cycle était consacrée à la transition écologique et au rôle que la souveraineté peut jouer comme levier de remobilisation de l’action publique. Organisée avec le Comité 21 et animée par Antoine Pellion, </w:t>
      </w:r>
      <w:r w:rsidR="00673A77">
        <w:t xml:space="preserve">son </w:t>
      </w:r>
      <w:r w:rsidRPr="00E90C06">
        <w:t>président, elle interrogeait la manière dont</w:t>
      </w:r>
      <w:r w:rsidR="00673A77">
        <w:t xml:space="preserve"> ce</w:t>
      </w:r>
      <w:r w:rsidRPr="00E90C06">
        <w:t>s enjeux peuvent contribuer à relancer, reformuler ou accélérer des politiques de transition aujourd’hui confrontées à un ralentissement politique, financier et réglementaire.</w:t>
      </w:r>
    </w:p>
    <w:p w14:paraId="1E13E839" w14:textId="77777777" w:rsidR="00E90C06" w:rsidRPr="00E90C06" w:rsidRDefault="00E90C06" w:rsidP="00673A77">
      <w:pPr>
        <w:jc w:val="both"/>
      </w:pPr>
      <w:r w:rsidRPr="00E90C06">
        <w:t>La séance a articulé un cadrage général et quatre interventions. Laurence de Nervaux, directrice de Destin Commun, a d’abord apporté un éclairage sur l’état de l’opinion, en nuançant fortement l’idée d’un « backlash » écologique massif. Matthieu Auzanneau, ancien directeur général du Shift Project, a replacé la transition énergétique dans une perspective géopolitique, en montrant que la décarbonation est aussi une stratégie de réduction des dépendances européennes aux énergies fossiles. Aurélie Catallo, de l’IDDRI, a analysé les conditions d’une souveraineté agricole et alimentaire qui ne peut être dissociée de la transition agroécologique. Enfin, Emmanuelle Ledoux, directrice générale de l’Institut national de l’économie circulaire, a élargi la réflexion aux matières premières, à la circularité, à la réparation, à la réindustrialisation et aux arbitrages collectifs sur les ressources.</w:t>
      </w:r>
    </w:p>
    <w:p w14:paraId="7CC09072" w14:textId="77777777" w:rsidR="00E90C06" w:rsidRPr="00E90C06" w:rsidRDefault="00E90C06" w:rsidP="00673A77">
      <w:pPr>
        <w:jc w:val="both"/>
      </w:pPr>
      <w:r w:rsidRPr="00E90C06">
        <w:t xml:space="preserve">Un fil commun s’est dégagé : la transition écologique ne peut plus être pensée seulement comme une réponse au changement climatique ou à la dégradation des milieux. Elle doit également être comprise comme une manière de réduire les vulnérabilités économiques, énergétiques, </w:t>
      </w:r>
      <w:r w:rsidRPr="00E90C06">
        <w:lastRenderedPageBreak/>
        <w:t>agricoles, matérielles, industrielles et sociales de la France et de l’Europe. La souveraineté n’est pas entendue ici comme une autarcie, mais comme une capacité à choisir, à organiser les interdépendances, à planifier les usages et à limiter les dépendances critiques.</w:t>
      </w:r>
    </w:p>
    <w:p w14:paraId="02725908" w14:textId="77777777" w:rsidR="00E90C06" w:rsidRPr="00E90C06" w:rsidRDefault="00E90C06" w:rsidP="00673A77">
      <w:pPr>
        <w:jc w:val="both"/>
      </w:pPr>
      <w:r w:rsidRPr="00E90C06">
        <w:t>La séance a également mis en évidence plusieurs conditions de réussite : ne pas individualiser excessivement la transition ; construire des cadres collectifs d’action ; articuler transition, santé publique, pouvoir d’achat et cohésion sociale ; assumer la progressivité des transformations ; planifier les usages concurrents des ressources ; financer les infrastructures de long terme ; et inscrire la transition dans les territoires, où les conflits d’usage comme les solutions concrètes deviennent visibles.</w:t>
      </w:r>
    </w:p>
    <w:p w14:paraId="77CE45DE" w14:textId="77777777" w:rsidR="00E90C06" w:rsidRPr="00E90C06" w:rsidRDefault="00E90C06" w:rsidP="00673A77">
      <w:pPr>
        <w:jc w:val="both"/>
      </w:pPr>
      <w:r w:rsidRPr="00E90C06">
        <w:rPr>
          <w:b/>
          <w:bCs/>
        </w:rPr>
        <w:t>Ouverture et cadrage</w:t>
      </w:r>
    </w:p>
    <w:p w14:paraId="3F5B5E2C" w14:textId="77777777" w:rsidR="00E90C06" w:rsidRPr="00E90C06" w:rsidRDefault="00E90C06" w:rsidP="00673A77">
      <w:pPr>
        <w:jc w:val="both"/>
      </w:pPr>
      <w:r w:rsidRPr="00E90C06">
        <w:t>Sophie Quatrehomme ouvre la séance en rappelant le cadre du cycle de recherches sur les enjeux de souveraineté(s), porté par l’Institut pour la Recherche de la Caisse des Dépôts avec plusieurs partenaires think tanks : le Comité 21, la Fondation Jean-Jaurès, l’Institut Jacques Delors, l’Institut Montaigne, La Fabrique écologique et Terra Nova. Elle rappelle les sessions déjà organisées autour de la souveraineté économique européenne, des métaux critiques et de la souveraineté industrielle, de la souveraineté énergétique, puis de la souveraineté numérique, avant cette séance consacrée à la transition écologique. Elle annonce également la dernière session prévue en septembre sur la décarbonation de la filière automobile et les enjeux de mobilité, ainsi que le colloque de restitution du cycle, prévu le 22 octobre à la Caisse des Dépôts.</w:t>
      </w:r>
    </w:p>
    <w:p w14:paraId="2F388697" w14:textId="77777777" w:rsidR="00E90C06" w:rsidRPr="00E90C06" w:rsidRDefault="00E90C06" w:rsidP="00673A77">
      <w:pPr>
        <w:jc w:val="both"/>
      </w:pPr>
      <w:r w:rsidRPr="00E90C06">
        <w:t>Elle souligne l’importance de ce cycle pour la Caisse des Dépôts, dont l’une des priorités stratégiques est le renforcement des souverainetés. Investisseur de long terme, le groupe intervient aux côtés de l’État, des collectivités et des acteurs privés pour financer les investissements nécessaires dans les domaines industriel, énergétique, numérique et financier. La transition écologique est ainsi abordée non comme un sujet isolé, mais comme une dimension structurante de la souveraineté contemporaine.</w:t>
      </w:r>
    </w:p>
    <w:p w14:paraId="26902912" w14:textId="77777777" w:rsidR="00E90C06" w:rsidRPr="00E90C06" w:rsidRDefault="00E90C06" w:rsidP="00673A77">
      <w:pPr>
        <w:jc w:val="both"/>
      </w:pPr>
      <w:r w:rsidRPr="00E90C06">
        <w:t>Antoine Pellion introduit ensuite la séance en présentant les perspectives à partir desquelles il intervient : comme président du Comité 21, comme acteur de la décarbonation des territoires au sein d’Idex, et comme contributeur à des travaux prospectifs menés avec le commissariat à la stratégie. Il rappelle que le Comité 21, engagé depuis trente ans dans la transition écologique, s’oriente de plus en plus vers l’accompagnement opérationnel des collectivités locales, notamment à l’échelle intercommunale et régionale.</w:t>
      </w:r>
    </w:p>
    <w:p w14:paraId="038465B1" w14:textId="77777777" w:rsidR="00E90C06" w:rsidRPr="00E90C06" w:rsidRDefault="00E90C06" w:rsidP="00673A77">
      <w:pPr>
        <w:jc w:val="both"/>
      </w:pPr>
      <w:r w:rsidRPr="00E90C06">
        <w:t>Son cadrage repose sur une idée simple : la France, comme l’Union européenne, dispose de peu de ressources naturelles énergétiques et de matières premières. Cette situation aurait dû conduire à structurer plus fortement l’économie autour de la sobriété, de l’efficacité, de la réduction des intrants et de la protection des ressources. Or le développement économique s’est largement construit sur l’abondance relative et le faible coût des énergies fossiles importées. Les tensions géopolitiques et le caractère fini des ressources rendent désormais cette dépendance beaucoup plus visible.</w:t>
      </w:r>
    </w:p>
    <w:p w14:paraId="093DFC17" w14:textId="77777777" w:rsidR="00E90C06" w:rsidRPr="00E90C06" w:rsidRDefault="00E90C06" w:rsidP="00673A77">
      <w:pPr>
        <w:jc w:val="both"/>
      </w:pPr>
      <w:r w:rsidRPr="00E90C06">
        <w:t xml:space="preserve">Antoine Pellion insiste sur le fait que les politiques de transition (sobriété, efficacité, décarbonation, protection des sols et des écosystèmes) sont fortement alignées avec les enjeux de souveraineté énergétique, agricole et matérielle. Il estime néanmoins que cette dimension économique et géopolitique de la transition a longtemps été insuffisamment mobilisée dans le discours environnemental, trop centré sur le climat ou la protection des milieux. La souveraineté offre donc un cadre de reformulation possible, à condition de ne pas occulter les autres </w:t>
      </w:r>
      <w:r w:rsidRPr="00E90C06">
        <w:lastRenderedPageBreak/>
        <w:t>dimensions de la transition : santé publique, cohésion sociale, conflits de ressources, adaptation au changement climatique.</w:t>
      </w:r>
    </w:p>
    <w:p w14:paraId="29FCA818" w14:textId="77777777" w:rsidR="00E90C06" w:rsidRPr="00E90C06" w:rsidRDefault="00E90C06" w:rsidP="00673A77">
      <w:pPr>
        <w:jc w:val="both"/>
      </w:pPr>
      <w:r w:rsidRPr="00E90C06">
        <w:t>Il souligne enfin que la transition écologique restera indispensable même si l’effort mondial de réduction des émissions ne permet pas de limiter suffisamment le réchauffement. Dans un monde plus chaud, la transition demeure un facteur de souveraineté, de santé publique et de cohésion sociale. Elle ne doit donc pas être pensée seulement comme une contribution au climat mondial, mais comme une condition d’organisation collective face aux chocs à venir.</w:t>
      </w:r>
    </w:p>
    <w:p w14:paraId="5CC95ADD" w14:textId="77777777" w:rsidR="00E90C06" w:rsidRPr="00E90C06" w:rsidRDefault="00E90C06" w:rsidP="00673A77">
      <w:pPr>
        <w:jc w:val="both"/>
      </w:pPr>
      <w:r w:rsidRPr="00E90C06">
        <w:rPr>
          <w:b/>
          <w:bCs/>
        </w:rPr>
        <w:t>Laurence de Nervaux : opinion publique, backlash écologique et souveraineté</w:t>
      </w:r>
    </w:p>
    <w:p w14:paraId="33AFA854" w14:textId="77777777" w:rsidR="00E90C06" w:rsidRPr="00E90C06" w:rsidRDefault="00E90C06" w:rsidP="00673A77">
      <w:pPr>
        <w:jc w:val="both"/>
      </w:pPr>
      <w:r w:rsidRPr="00E90C06">
        <w:t>Laurence de Nervaux, directrice de Destin Commun, intervient pour éclairer l’état de l’opinion sur les notions de transition écologique et de souveraineté. Elle part du titre de la rencontre, qui évoque une « relance » de la transition écologique, pour en nuancer l’interprétation. S’il y a bien un ralentissement des politiques publiques, des financements, des normes ou des aides, ce ralentissement est beaucoup moins évident dans l’opinion.</w:t>
      </w:r>
    </w:p>
    <w:p w14:paraId="74D96266" w14:textId="77777777" w:rsidR="00E90C06" w:rsidRPr="00E90C06" w:rsidRDefault="00E90C06" w:rsidP="00673A77">
      <w:pPr>
        <w:jc w:val="both"/>
      </w:pPr>
      <w:r w:rsidRPr="00E90C06">
        <w:t>Elle met en garde contre l’usage trop rapide du terme de « backlash », devenu très présent dans le débat public. Les données d’opinion montrent que la demande d’action écologique reste importante et relativement stable. La transition demeure parmi les priorités des Français, même si elle n’est pas leur priorité unique ou absolue. Laurence de Nervaux rappelle ainsi que 58 % des Français considèrent que les responsables politiques devraient en faire beaucoup plus en matière de transition écologique. Elle en conclut que le backlash écologique est davantage un construit politique et médiatique qu’une réalité sociologique homogène.</w:t>
      </w:r>
    </w:p>
    <w:p w14:paraId="52A0D29F" w14:textId="77777777" w:rsidR="00E90C06" w:rsidRPr="00E90C06" w:rsidRDefault="00E90C06" w:rsidP="00673A77">
      <w:pPr>
        <w:jc w:val="both"/>
      </w:pPr>
      <w:r w:rsidRPr="00E90C06">
        <w:t>La notion de souveraineté, longtemps associée à des traditions politiques plutôt situées à droite, voire à des imaginaires gaullistes ou eurosceptiques, est devenue beaucoup plus consensuelle. Cette évolution s’explique par plusieurs chocs successifs : le Covid, qui a révélé les dépendances industrielles et sanitaires ; la guerre en Ukraine, qui a mis en lumière les dépendances énergétiques, alimentaires et militaires ; puis les tensions au Moyen-Orient, qui ont renforcé la conscience des vulnérabilités énergétiques. Le sentiment que le monde devient plus dangereux progresse nettement, et s’accompagne d’un sentiment d’impuissance. Dans ce contexte, la souveraineté peut répondre à un besoin de protection, d’autonomie et de reprise de contrôle.</w:t>
      </w:r>
    </w:p>
    <w:p w14:paraId="7EBD096E" w14:textId="77777777" w:rsidR="00E90C06" w:rsidRPr="00E90C06" w:rsidRDefault="00E90C06" w:rsidP="00673A77">
      <w:pPr>
        <w:jc w:val="both"/>
      </w:pPr>
      <w:r w:rsidRPr="00E90C06">
        <w:t>Sur les questions énergétiques, le tableau de l’opinion apparaît plutôt favorable. Une large majorité de Français soutient un mix combinant nucléaire et énergies renouvelables. Le soutien aux renouvelables est élevé, et l’opposition aux éoliennes, bien réelle localement, ne correspond pas à un rejet majoritaire à l’échelle nationale. Laurence de Nervaux rappelle toutefois l’importance des effets locaux et du phénomène NIMBY, en particulier dans un pays où la beauté des paysages constitue une dimension forte de la fierté nationale.</w:t>
      </w:r>
    </w:p>
    <w:p w14:paraId="351FC1D7" w14:textId="77777777" w:rsidR="00E90C06" w:rsidRPr="00E90C06" w:rsidRDefault="00E90C06" w:rsidP="00673A77">
      <w:pPr>
        <w:jc w:val="both"/>
      </w:pPr>
      <w:r w:rsidRPr="00E90C06">
        <w:t>La question de la fierté occupe une place centrale dans ses travaux. Une large majorité des Français se déclare fière d’être française, et une part importante s’approprie également le terme de « patriote », y compris dans des électorats où cette notion était traditionnellement moins mobilisée. Pour Laurence de Nervaux, la fierté peut donc devenir un levier de mobilisation collective pour la transition, à condition de ne pas la laisser à un seul camp politique.</w:t>
      </w:r>
    </w:p>
    <w:p w14:paraId="1E5C18C5" w14:textId="77777777" w:rsidR="00E90C06" w:rsidRPr="00E90C06" w:rsidRDefault="00E90C06" w:rsidP="00673A77">
      <w:pPr>
        <w:jc w:val="both"/>
      </w:pPr>
      <w:r w:rsidRPr="00E90C06">
        <w:t xml:space="preserve">Elle identifie également des opportunités autour de la sobriété, de l’économie du partage et de l’économie circulaire. Beaucoup de Français déclarent avoir déjà prêté ou emprunté des objets, pratiqué le covoiturage ou être prêts à développer ces usages. Une majorité ne se reconnaît pas dans l’injonction permanente à consommer davantage, vécue comme une pression plus que </w:t>
      </w:r>
      <w:r w:rsidRPr="00E90C06">
        <w:lastRenderedPageBreak/>
        <w:t>comme une promesse de bonheur. Elle cite à cet égard les travaux de Benoît Heilbrunn sur le mythe du pouvoir d’achat, qui interrogent la manière dont cette notion enferme les individus dans une logique de consommation plus que de pouvoir citoyen.</w:t>
      </w:r>
    </w:p>
    <w:p w14:paraId="4E2EF1DE" w14:textId="77777777" w:rsidR="00E90C06" w:rsidRPr="00E90C06" w:rsidRDefault="00E90C06" w:rsidP="00673A77">
      <w:pPr>
        <w:jc w:val="both"/>
      </w:pPr>
      <w:r w:rsidRPr="00E90C06">
        <w:t>Plusieurs points de tension demeurent toutefois : la souveraineté agricole et alimentaire, souvent perçue à travers l’écart entre normes françaises et importations ; la santé, qui rend la transition concrète autour du « boire, manger, respirer » mais peut aussi susciter des inquiétudes liées aux relocalisations industrielles ; le sentiment d’impuissance face aux grands pollueurs ou à l’inaction d’autres puissances ; enfin l’attachement à la liberté individuelle, notamment dans la sphère domestique, comme l’ont montré les réactions aux messages publics sur le chauffage à 19°C.</w:t>
      </w:r>
    </w:p>
    <w:p w14:paraId="7A01A33E" w14:textId="77777777" w:rsidR="00E90C06" w:rsidRPr="00E90C06" w:rsidRDefault="00E90C06" w:rsidP="00673A77">
      <w:pPr>
        <w:jc w:val="both"/>
      </w:pPr>
      <w:r w:rsidRPr="00E90C06">
        <w:t>Elle souligne enfin deux enjeux de pédagogie : la confusion persistante entre énergie et électricité, et l’incompréhension de phénomènes complexes comme l’inflation énergétique. Ces zones de flou alimentent la défiance, les lectures complotistes et, plus largement, un enjeu de « souveraineté cognitive » face aux récits anti-sciences, climatosceptiques ou relativistes.</w:t>
      </w:r>
    </w:p>
    <w:p w14:paraId="2BE07A4F" w14:textId="77777777" w:rsidR="00E90C06" w:rsidRPr="00E90C06" w:rsidRDefault="00E90C06" w:rsidP="00673A77">
      <w:pPr>
        <w:jc w:val="both"/>
      </w:pPr>
      <w:r w:rsidRPr="00E90C06">
        <w:t>Dans les échanges, Antoine Pellion retient un paradoxe : l’opinion reste consciente des enjeux et disposée à agir, mais le passage à l’action collective demeure insuffisant. Beaucoup de solutions relèvent moins de comportements isolés que d’une organisation collective : infrastructures, politiques publiques, dispositifs locaux, coordination entre acteurs. L’échelle locale apparaît souvent plus favorable à l’action, parce que les enjeux y sont plus concrets et plus compréhensibles qu’au niveau national.</w:t>
      </w:r>
    </w:p>
    <w:p w14:paraId="5DC0FB0B" w14:textId="77777777" w:rsidR="00E90C06" w:rsidRPr="00E90C06" w:rsidRDefault="00E90C06" w:rsidP="00673A77">
      <w:pPr>
        <w:jc w:val="both"/>
      </w:pPr>
      <w:r w:rsidRPr="00E90C06">
        <w:t>Les échanges portent aussi sur les co-bénéfices de la transition. Laurence de Nervaux souligne que les principaux bénéfices perçus par les Français sont les économies, la santé, la qualité de vie et la santé des enfants. Antoine Pellion complète en insistant sur la progressivité de la transition : dans certains travaux de planification écologique, l’objectif est que 2 à 3% de la population changent chaque année de voiture, rénovent leur logement ou modifient certaines habitudes structurantes. La transition n’est pas un « grand soir », mais une transformation progressive des flux.</w:t>
      </w:r>
    </w:p>
    <w:p w14:paraId="4F6BC6BD" w14:textId="77777777" w:rsidR="00E90C06" w:rsidRPr="00E90C06" w:rsidRDefault="00E90C06" w:rsidP="00673A77">
      <w:pPr>
        <w:jc w:val="both"/>
      </w:pPr>
      <w:r w:rsidRPr="00E90C06">
        <w:rPr>
          <w:b/>
          <w:bCs/>
        </w:rPr>
        <w:t>Matthieu Auzanneau : décarbonation, géopolitique de l’énergie et stratégie du faible</w:t>
      </w:r>
    </w:p>
    <w:p w14:paraId="74B41028" w14:textId="77777777" w:rsidR="00E90C06" w:rsidRPr="00E90C06" w:rsidRDefault="00E90C06" w:rsidP="00673A77">
      <w:pPr>
        <w:jc w:val="both"/>
      </w:pPr>
      <w:r w:rsidRPr="00E90C06">
        <w:t>Matthieu Auzanneau intervient ensuite sur les enjeux énergétiques, à partir d’une présentation intitulée « Decarbonization as strategy of the weak for EU ». Il choisit de déplacer volontairement l’accent du climat vers la géopolitique de l’énergie, non pour minimiser l’enjeu climatique, mais parce que la souveraineté énergétique constitue, selon lui, une seconde raison majeure de décarboner, encore insuffisamment documentée dans le débat public.</w:t>
      </w:r>
    </w:p>
    <w:p w14:paraId="3ADCC405" w14:textId="77777777" w:rsidR="00E90C06" w:rsidRPr="00E90C06" w:rsidRDefault="00E90C06" w:rsidP="00673A77">
      <w:pPr>
        <w:jc w:val="both"/>
      </w:pPr>
      <w:r w:rsidRPr="00E90C06">
        <w:t>Il rappelle que le Shift Project travaille depuis longtemps sur la « double contrainte carbone » : la contrainte aval, liée au climat et à la réduction des émissions de gaz à effet de serre ; et la contrainte amont, liée à l’accès à des ressources fossiles finies, importées et géopolitiquement risquées. La décarbonation répond donc à deux impératifs cumulatifs : réduire les émissions et anticiper les contraintes sur les approvisionnements vitaux européens en pétrole et en gaz.</w:t>
      </w:r>
    </w:p>
    <w:p w14:paraId="4258C676" w14:textId="77777777" w:rsidR="00E90C06" w:rsidRPr="00E90C06" w:rsidRDefault="00E90C06" w:rsidP="00673A77">
      <w:pPr>
        <w:jc w:val="both"/>
      </w:pPr>
      <w:r w:rsidRPr="00E90C06">
        <w:t xml:space="preserve">Son intervention repose sur un diagnostic géopolitique large. L’Europe a longtemps bénéficié d’un accès relativement abondant et bon marché au pétrole et au gaz, notamment grâce à la production de la mer du Nord et aux importations russes. Or cette situation est devenue structurellement instable. Matthieu Auzanneau souligne que le déclin de la production de pétrole et de gaz en mer du Nord constitue un élément central du diagnostic, insuffisamment pris en </w:t>
      </w:r>
      <w:r w:rsidRPr="00E90C06">
        <w:lastRenderedPageBreak/>
        <w:t>compte selon lui dans le rapport Draghi, qui identifie bien l’écart de compétitivité énergétique entre l’Europe et ses concurrents, mais sans toujours en analyser la racine matérielle. La production de gaz de la mer du Nord se situe aujourd’hui nettement en dessous de son pic de 2004 ; ce tarissement relève d’abord de la géologie des ressources, non d’un simple problème économique, industriel ou technologique.</w:t>
      </w:r>
    </w:p>
    <w:p w14:paraId="62C2841E" w14:textId="77777777" w:rsidR="00E90C06" w:rsidRPr="00E90C06" w:rsidRDefault="00E90C06" w:rsidP="00673A77">
      <w:pPr>
        <w:jc w:val="both"/>
      </w:pPr>
      <w:r w:rsidRPr="00E90C06">
        <w:t>Entre l’annexion de la Crimée en 2014 et l’invasion de l’Ukraine en 2022, la production de gaz de l’Union européenne a fortement baissé tandis que la consommation augmentait. La Russie a comblé une partie croissante de l’écart, renforçant une vulnérabilité stratégique majeure. Matthieu Auzanneau élargit ensuite le diagnostic aux États-Unis, au Golfe arabo-persique et à la Russie, pour rappeler que la géopolitique de l’énergie est une géopolitique de la puissance. Pour l’Europe, la production locale décline, la Russie n’est plus un fournisseur fiable, la dépendance au gaz américain et qatari augmente, et les marchés restent exposés à des chocs géopolitiques. La transition énergétique devient alors une stratégie de réduction de cette exposition structurelle.</w:t>
      </w:r>
    </w:p>
    <w:p w14:paraId="5B535846" w14:textId="77777777" w:rsidR="00E90C06" w:rsidRPr="00E90C06" w:rsidRDefault="00E90C06" w:rsidP="00673A77">
      <w:pPr>
        <w:jc w:val="both"/>
      </w:pPr>
      <w:r w:rsidRPr="00E90C06">
        <w:t>Matthieu Auzanneau insiste sur la différence entre les dépendances fossiles et les dépendances liées aux équipements bas-carbone. Le pétrole et le gaz doivent être importés de manière continue et en très grandes quantités. À l’inverse, une éolienne, un panneau solaire, un équipement de géothermie ou une infrastructure bas-carbone, une fois installés, produisent pendant de nombreuses années. Le nucléaire dispose lui aussi de stocks de combustible permettant une certaine profondeur temporelle. Toutes les dépendances énergétiques ne se valent donc pas.</w:t>
      </w:r>
    </w:p>
    <w:p w14:paraId="276E6C6B" w14:textId="77777777" w:rsidR="00E90C06" w:rsidRPr="00E90C06" w:rsidRDefault="00E90C06" w:rsidP="00673A77">
      <w:pPr>
        <w:jc w:val="both"/>
      </w:pPr>
      <w:r w:rsidRPr="00E90C06">
        <w:t>Il présente également un travail du Shift Project sur l’énergie grise incorporée dans les importations européennes. Selon les éléments présentés, 65 % de l’énergie nécessaire au fonctionnement de l’économie européenne et de sa population est produite hors du continent européen. Mais 77 % de cette énergie est consommée dans l’Union européenne. La décarbonation des usages et des transformations situés en Europe constitue donc un levier majeur de souveraineté.</w:t>
      </w:r>
    </w:p>
    <w:p w14:paraId="5242096E" w14:textId="77777777" w:rsidR="00E90C06" w:rsidRPr="00E90C06" w:rsidRDefault="00E90C06" w:rsidP="00673A77">
      <w:pPr>
        <w:jc w:val="both"/>
      </w:pPr>
      <w:r w:rsidRPr="00E90C06">
        <w:t>La conclusion opérationnelle repose sur trois éléments : des politiques industrielles ciblées et sélectives, la construction d’une sobriété systémique comme « stratégie du faible » pour l’Europe, et des politiques de la demande fondées sur la priorisation des besoins. Matthieu Auzanneau présente l’efficacité et la sobriété non comme un rationnement, mais comme l’antidote au rationnement. L’objectif est d’organiser collectivement la réduction de la dépendance, plutôt que de subir demain des contraintes brutales imposées par les prix, les crises ou la rareté.</w:t>
      </w:r>
    </w:p>
    <w:p w14:paraId="4A70A284" w14:textId="77777777" w:rsidR="00E90C06" w:rsidRPr="00E90C06" w:rsidRDefault="00E90C06" w:rsidP="00673A77">
      <w:pPr>
        <w:jc w:val="both"/>
      </w:pPr>
      <w:r w:rsidRPr="00E90C06">
        <w:t>Dans les échanges, Antoine Pellion retient de l’intervention que les crises énergétiques récentes ne sont pas des épisodes passagers, mais les manifestations d’un phénomène structurel. La décarbonation devient ainsi une condition pour rester une nation capable d’agir, de produire et de préserver un niveau de vie soutenable. Il insiste sur le risque de « stop and go » lié aux variations des prix de l’énergie : lorsque les prix du gaz sont bas, certains industriels repoussent leurs investissements ; lorsque les prix remontent, l’urgence réapparaît. La politique publique doit donc assurer une continuité stratégique malgré les fluctuations de court terme.</w:t>
      </w:r>
    </w:p>
    <w:p w14:paraId="5E178ED3" w14:textId="77777777" w:rsidR="00E90C06" w:rsidRPr="00E90C06" w:rsidRDefault="00E90C06" w:rsidP="00673A77">
      <w:pPr>
        <w:jc w:val="both"/>
      </w:pPr>
      <w:r w:rsidRPr="00E90C06">
        <w:t>Un débat s’ouvre ensuite sur les équipements chinois. Antoine Pellion formule l’idée qu’il peut être nécessaire, dans une phase transitoire, d’accepter certaines importations d’équipements bas-carbone afin d’accélérer la sortie des fossiles, tout en évitant de recréer une dépendance durable. Matthieu Auzanneau répond que la priorité immédiate reste de sortir de la dépendance aux énergies fossiles, tout en construisant progressivement des capacités industrielles européennes.</w:t>
      </w:r>
    </w:p>
    <w:p w14:paraId="48CF0B92" w14:textId="77777777" w:rsidR="00E90C06" w:rsidRPr="00E90C06" w:rsidRDefault="00E90C06" w:rsidP="00673A77">
      <w:pPr>
        <w:jc w:val="both"/>
      </w:pPr>
      <w:r w:rsidRPr="00E90C06">
        <w:rPr>
          <w:b/>
          <w:bCs/>
        </w:rPr>
        <w:lastRenderedPageBreak/>
        <w:t>Aurélie Catallo : souveraineté alimentaire et transition agroécologique</w:t>
      </w:r>
    </w:p>
    <w:p w14:paraId="49FBAE7D" w14:textId="77777777" w:rsidR="00E90C06" w:rsidRPr="00E90C06" w:rsidRDefault="00E90C06" w:rsidP="00673A77">
      <w:pPr>
        <w:jc w:val="both"/>
      </w:pPr>
      <w:r w:rsidRPr="00E90C06">
        <w:t>Antoine Pellion introduit la séquence agricole en soulignant que le sujet se présente différemment de l’énergie. La France dispose d’une grande surface agricole, de sols variés et d’une image de puissance agricole. Pourtant, cette puissance est souvent comprise à travers les volumes produits et exportés, alors que la souveraineté agricole devrait aussi être interrogée à partir des dépendances aux intrants, de la qualité des sols, de l’évolution des régimes alimentaires et de la résilience aux chocs climatiques.</w:t>
      </w:r>
    </w:p>
    <w:p w14:paraId="5761D211" w14:textId="77777777" w:rsidR="00E90C06" w:rsidRPr="00E90C06" w:rsidRDefault="00E90C06" w:rsidP="00673A77">
      <w:pPr>
        <w:jc w:val="both"/>
      </w:pPr>
      <w:r w:rsidRPr="00E90C06">
        <w:t>Aurélie Catallo rappelle d’abord que la notion de souveraineté alimentaire a une histoire spécifique. Depuis les années 1990, elle a été portée par des mouvements paysans et altermondialistes, avec une signification différente de celle aujourd’hui dominante dans le débat français. Elle ne s’oppose pas à l’usage contemporain de la notion, mais invite à rappeler cette généalogie.</w:t>
      </w:r>
    </w:p>
    <w:p w14:paraId="5EC4BC27" w14:textId="77777777" w:rsidR="00E90C06" w:rsidRPr="00E90C06" w:rsidRDefault="00E90C06" w:rsidP="00673A77">
      <w:pPr>
        <w:jc w:val="both"/>
      </w:pPr>
      <w:r w:rsidRPr="00E90C06">
        <w:t>Dans le débat français actuel, la souveraineté alimentaire désigne souvent l’adéquation entre ce que l’on produit sur le territoire et ce que l’on consomme. Aurélie Catallo insiste donc sur les deux variables à considérer : ce qu’il est possible et souhaitable de produire, et ce qu’il est souhaitable de manger. Les régimes alimentaires actuels ne sont pas nécessairement conformes aux recommandations nutritionnelles, notamment parce qu’ils sont trop gras, trop salés, trop sucrés et trop pauvres en fibres, vitamines et minéraux. La souveraineté alimentaire ne peut donc pas se limiter à suivre les tendances de consommation actuelles.</w:t>
      </w:r>
    </w:p>
    <w:p w14:paraId="3C73062D" w14:textId="77777777" w:rsidR="00E90C06" w:rsidRPr="00E90C06" w:rsidRDefault="00E90C06" w:rsidP="00673A77">
      <w:pPr>
        <w:jc w:val="both"/>
      </w:pPr>
      <w:r w:rsidRPr="00E90C06">
        <w:t>Elle identifie trois niveaux de vulnérabilité. Le premier concerne certaines matières premières agricoles : la France est excédentaire sur certaines productions, notamment les céréales, mais déficitaire sur d’autres produits nécessaires à une alimentation plus saine, comme les fruits tempérés, les légumes ou les lentilles. Le deuxième niveau concerne la transformation et la mise en marché : la France peut produire suffisamment de certaines matières premières, mais dépendre d’autres pays pour leur transformation, comme dans le cas du blé dur transformé en pâtes en Italie, ou importer des produits transformés correspondant davantage aux tendances actuelles de consommation. Le troisième niveau concerne les intrants nécessaires à la production agricole : engrais azotés, pesticides, protéines végétales destinées à l’alimentation animale, notamment le soja et les tourteaux de soja.</w:t>
      </w:r>
    </w:p>
    <w:p w14:paraId="23C0B64E" w14:textId="77777777" w:rsidR="00E90C06" w:rsidRPr="00E90C06" w:rsidRDefault="00E90C06" w:rsidP="00673A77">
      <w:pPr>
        <w:jc w:val="both"/>
      </w:pPr>
      <w:r w:rsidRPr="00E90C06">
        <w:t>Ces dépendances montrent que la puissance agricole apparente de la France repose en partie sur des intrants importés. La souveraineté ne peut donc pas être évaluée seulement à partir des volumes produits ou exportés. Elle doit aussi intégrer la capacité à produire durablement sans dépendre excessivement de ressources extérieures.</w:t>
      </w:r>
    </w:p>
    <w:p w14:paraId="331E8C87" w14:textId="77777777" w:rsidR="00E90C06" w:rsidRPr="00E90C06" w:rsidRDefault="00E90C06" w:rsidP="00673A77">
      <w:pPr>
        <w:jc w:val="both"/>
      </w:pPr>
      <w:r w:rsidRPr="00E90C06">
        <w:t>Aurélie Catallo ajoute que la production agricole est particulièrement exposée aux aléas. Les effets du changement climatique ne se résument pas aux événements extrêmes comme les sécheresses ou le gel ; ils concernent aussi les changements tendanciels de température et de pluviométrie, ainsi que l’augmentation de la variabilité interannuelle et intra-annuelle. Les risques sanitaires, comme la dermatose nodulaire ou la grippe aviaire, sont également en hausse. Les marchés agricoles restent enfin exposés aux restrictions commerciales, aux blocages et aux fluctuations des prix des intrants.</w:t>
      </w:r>
    </w:p>
    <w:p w14:paraId="3601E7BE" w14:textId="77777777" w:rsidR="00E90C06" w:rsidRPr="00E90C06" w:rsidRDefault="00E90C06" w:rsidP="00673A77">
      <w:pPr>
        <w:jc w:val="both"/>
      </w:pPr>
      <w:r w:rsidRPr="00E90C06">
        <w:t xml:space="preserve">Face à ces vulnérabilités, elle identifie deux leviers agronomiques principaux : la circularité et la diversification. La circularité consiste notamment à boucler le cycle de l’azote, en utilisant davantage les effluents d’élevage, les résidus de culture, les légumineuses et certaines matières organiques disponibles sur le territoire, plutôt que des engrais chimiques importés. La </w:t>
      </w:r>
      <w:r w:rsidRPr="00E90C06">
        <w:lastRenderedPageBreak/>
        <w:t>diversification permet de répartir les risques, de ne pas concentrer la production sur quelques cultures, et de développer des productions aujourd’hui déficitaires, comme les légumineuses et les protéines végétales.</w:t>
      </w:r>
    </w:p>
    <w:p w14:paraId="02242F8E" w14:textId="77777777" w:rsidR="00E90C06" w:rsidRPr="00E90C06" w:rsidRDefault="00E90C06" w:rsidP="00673A77">
      <w:pPr>
        <w:jc w:val="both"/>
      </w:pPr>
      <w:r w:rsidRPr="00E90C06">
        <w:t>Ces deux leviers sont présentés comme des outils de souveraineté, mais aussi comme des outils de transition agroécologique. Ils permettent de réduire les engrais de synthèse, les pesticides, les émissions de protoxyde d’azote, tout en améliorant la santé des sols, le stockage de carbone et la biodiversité. Aurélie Catallo estime qu’ils permettraient d’accomplir une grande partie du chemin nécessaire à la transition agroécologique.</w:t>
      </w:r>
    </w:p>
    <w:p w14:paraId="414111A9" w14:textId="77777777" w:rsidR="00E90C06" w:rsidRPr="00E90C06" w:rsidRDefault="00E90C06" w:rsidP="00673A77">
      <w:pPr>
        <w:jc w:val="both"/>
      </w:pPr>
      <w:r w:rsidRPr="00E90C06">
        <w:t>Dans les échanges, Antoine Pellion souligne que la France dispose, d’un point de vue biophysique, de la capacité de nourrir sa population, mais à condition de transformer les types de productions et les régimes alimentaires. Il insiste surtout sur le fait que les leviers de transition agroécologique sont des leviers de souveraineté agricole, ce qui va à l’encontre d’une partie du débat public où l’écologie est souvent présentée comme un frein à la puissance agricole. La qualité des sols constitue à cet égard un actif stratégique : elle conditionne la capacité à stocker l’eau, à maintenir la fertilité, à résister aux chocs climatiques et à préserver la productivité future.</w:t>
      </w:r>
    </w:p>
    <w:p w14:paraId="784F4747" w14:textId="77777777" w:rsidR="00E90C06" w:rsidRPr="00E90C06" w:rsidRDefault="00E90C06" w:rsidP="00673A77">
      <w:pPr>
        <w:jc w:val="both"/>
      </w:pPr>
      <w:r w:rsidRPr="00E90C06">
        <w:t>Aurélie Catallo précise que la France ne peut pas nécessairement nourrir les Français selon leurs régimes alimentaires actuels. Elle peut le faire si les régimes évoluent vers les recommandations nutritionnelles. Elle prend l’exemple de la consommation de poulet, en forte hausse, qui ne peut pas être satisfaite durablement par la production française, même dans une hypothèse productiviste. Elle insiste donc sur la nécessité d’agir simultanément sur l’offre agricole et sur la demande alimentaire.</w:t>
      </w:r>
    </w:p>
    <w:p w14:paraId="146E5932" w14:textId="77777777" w:rsidR="00E90C06" w:rsidRPr="00E90C06" w:rsidRDefault="00E90C06" w:rsidP="00673A77">
      <w:pPr>
        <w:jc w:val="both"/>
      </w:pPr>
      <w:r w:rsidRPr="00E90C06">
        <w:t>Elle introduit à ce sujet la notion d’« environnements alimentaires ». Les choix alimentaires ne sont pas entièrement libres ou spontanés : ils sont influencés par la disponibilité des produits, les prix, la publicité, la grande distribution, les normes sociales, les réseaux sociaux et les politiques publiques. Agir sur les régimes alimentaires ne signifie donc pas nécessairement restreindre autoritairement les libertés individuelles, mais transformer les environnements qui orientent déjà les choix.</w:t>
      </w:r>
    </w:p>
    <w:p w14:paraId="686083F1" w14:textId="77777777" w:rsidR="00E90C06" w:rsidRPr="00E90C06" w:rsidRDefault="00E90C06" w:rsidP="00673A77">
      <w:pPr>
        <w:jc w:val="both"/>
      </w:pPr>
      <w:r w:rsidRPr="00E90C06">
        <w:t>Les échanges abordent également la crise de la bio, le rôle de la grande distribution et les débouchés économiques de la diversification. Aurélie Catallo souligne que le principal verrou n’est pas nécessairement la capacité des agriculteurs à changer, mais l’existence de marchés rémunérateurs pour des productions diversifiées. Elle rappelle aussi que le revenu agricole est souvent pensé à partir de la maximisation des produits, alors que la question des charges (énergie, intrants, alimentation animale, pesticides, investissements) est devenue centrale. La circularité et la diversification peuvent ainsi contribuer à la souveraineté économique des agriculteurs en réduisant les charges.</w:t>
      </w:r>
    </w:p>
    <w:p w14:paraId="59B297E8" w14:textId="77777777" w:rsidR="00E90C06" w:rsidRPr="00E90C06" w:rsidRDefault="00E90C06" w:rsidP="00673A77">
      <w:pPr>
        <w:jc w:val="both"/>
      </w:pPr>
      <w:r w:rsidRPr="00E90C06">
        <w:rPr>
          <w:b/>
          <w:bCs/>
        </w:rPr>
        <w:t>Emmanuelle Ledoux : économie circulaire, matières premières et arbitrages collectifs</w:t>
      </w:r>
    </w:p>
    <w:p w14:paraId="337A7394" w14:textId="77777777" w:rsidR="00E90C06" w:rsidRPr="00E90C06" w:rsidRDefault="00E90C06" w:rsidP="00673A77">
      <w:pPr>
        <w:jc w:val="both"/>
      </w:pPr>
      <w:r w:rsidRPr="00E90C06">
        <w:t>Antoine Pellion introduit la dernière séquence en rappelant que les sujets de matières premières, de recyclage et d’économie circulaire sont eux aussi au cœur de la convergence entre transition écologique et souveraineté. Emmanuelle Ledoux, directrice générale de l’Institut national de l’économie circulaire, intervient pour montrer la complexité concrète de cette transformation.</w:t>
      </w:r>
    </w:p>
    <w:p w14:paraId="7BB0B580" w14:textId="77777777" w:rsidR="00E90C06" w:rsidRPr="00E90C06" w:rsidRDefault="00E90C06" w:rsidP="00673A77">
      <w:pPr>
        <w:jc w:val="both"/>
      </w:pPr>
      <w:r w:rsidRPr="00E90C06">
        <w:t xml:space="preserve">Elle rappelle d’abord l’histoire récente de l’économie circulaire dans les politiques publiques françaises. La loi de transition énergétique de 2015 en donne une première définition ; la feuille de route pour l’économie circulaire de 2018 et la loi AGEC marquent ensuite une montée en </w:t>
      </w:r>
      <w:r w:rsidRPr="00E90C06">
        <w:lastRenderedPageBreak/>
        <w:t>puissance du sujet. La circularité bénéficie d’un large consensus de principe : sortir du modèle linéaire « extraire, produire, consommer, jeter » et lutter contre le gaspillage. Mais ce consensus ne s’est pas traduit automatiquement en transformation réelle. Les politiques ont beaucoup misé sur l’information et la transformation du consommateur, sans toujours mesurer l’ampleur des changements économiques, industriels et territoriaux nécessaires.</w:t>
      </w:r>
    </w:p>
    <w:p w14:paraId="452FED4E" w14:textId="77777777" w:rsidR="00E90C06" w:rsidRPr="00E90C06" w:rsidRDefault="00E90C06" w:rsidP="00673A77">
      <w:pPr>
        <w:jc w:val="both"/>
      </w:pPr>
      <w:r w:rsidRPr="00E90C06">
        <w:t>Elle insiste ensuite sur le lien entre décarbonation et matières premières. La transition énergétique réduit la dépendance aux fossiles, mais elle accroît les besoins en certains matériaux : lithium, cobalt, cuivre, métaux nécessaires aux batteries, à l’électrification des usages et aux infrastructures bas-carbone. Même les scénarios les plus sobres de l’ADEME impliquent une augmentation significative de certains besoins. La transition bas-carbone doit donc être pensée sous contrainte de ressources.</w:t>
      </w:r>
    </w:p>
    <w:p w14:paraId="5AAFA246" w14:textId="77777777" w:rsidR="00E90C06" w:rsidRPr="00E90C06" w:rsidRDefault="00E90C06" w:rsidP="00673A77">
      <w:pPr>
        <w:jc w:val="both"/>
      </w:pPr>
      <w:r w:rsidRPr="00E90C06">
        <w:t>Cette contrainte impose de relier plusieurs stratégies trop souvent séparées : stratégie nationale bas-carbone, programmation pluriannuelle de l’énergie, stratégie matières, politique industrielle, circularité, biodiversité et usages de la biomasse. Emmanuelle Ledoux évoque ironiquement la « Stratégie nationale bas-carbone de Schrödinger », pour désigner une stratégie attendue, discutée, annoncée, mais dont les acteurs ne savent pas toujours si elle est réellement stabilisée ou publiée. Cette incertitude complique la planification des investissements et des usages.</w:t>
      </w:r>
    </w:p>
    <w:p w14:paraId="1EF14893" w14:textId="77777777" w:rsidR="00E90C06" w:rsidRPr="00E90C06" w:rsidRDefault="00E90C06" w:rsidP="00673A77">
      <w:pPr>
        <w:jc w:val="both"/>
      </w:pPr>
      <w:r w:rsidRPr="00E90C06">
        <w:t>Elle insiste particulièrement sur les conflits d’usage. La biomasse en offre un exemple clair : plusieurs secteurs (aéronautique, agroalimentaire, gaz, matériaux, énergie) envisagent de mobiliser la biomasse pour se décarboner. Or chaque filière raisonne souvent séparément, comme si la ressource était disponible pour elle seule. La planification doit donc arbitrer entre usages concurrents et éviter l’addition de stratégies sectorielles incompatibles.</w:t>
      </w:r>
    </w:p>
    <w:p w14:paraId="2979ED85" w14:textId="77777777" w:rsidR="00E90C06" w:rsidRPr="00E90C06" w:rsidRDefault="00E90C06" w:rsidP="00673A77">
      <w:pPr>
        <w:jc w:val="both"/>
      </w:pPr>
      <w:r w:rsidRPr="00E90C06">
        <w:t>La réindustrialisation soulève également des tensions. Tout le monde s’accorde sur la nécessité de produire davantage en Europe ou en France, mais la réimplantation d’usines, d’activités extractives ou d’infrastructures peut entrer en conflit avec la préservation de la biodiversité, les usages locaux et les oppositions territoriales. La souveraineté suppose de réinternaliser certaines externalités aujourd’hui reportées ailleurs, mais cette réinternalisation a des coûts et des impacts locaux qu’il faut assumer démocratiquement.</w:t>
      </w:r>
    </w:p>
    <w:p w14:paraId="4599D10C" w14:textId="77777777" w:rsidR="00E90C06" w:rsidRPr="00E90C06" w:rsidRDefault="00E90C06" w:rsidP="00673A77">
      <w:pPr>
        <w:jc w:val="both"/>
      </w:pPr>
      <w:r w:rsidRPr="00E90C06">
        <w:t>Emmanuelle Ledoux développe ensuite l’exemple de la réparation, porte d’entrée intuitive de l’économie circulaire. Elle est compréhensible, positive, associée à des métiers concrets, mais ces métiers ont fortement décliné. Il manque des réparateurs, les modèles économiques sont fragiles, les formations insuffisantes, les locaux chers, et les produits vendus sont souvent trop peu chers ou trop peu réparables pour rendre la réparation viable. Relancer la réparation suppose donc d’agir en même temps sur la qualité des produits, la formation, la demande, la fiscalité, les modèles économiques et la lutte contre l’ultra fast fashion.</w:t>
      </w:r>
    </w:p>
    <w:p w14:paraId="38F58902" w14:textId="77777777" w:rsidR="00E90C06" w:rsidRPr="00E90C06" w:rsidRDefault="00E90C06" w:rsidP="00673A77">
      <w:pPr>
        <w:jc w:val="both"/>
      </w:pPr>
      <w:r w:rsidRPr="00E90C06">
        <w:t>Elle montre aussi que la transition circulaire ne se limite pas à créer de nouveaux modèles ; elle implique de faire reculer certains modèles existants. La lutte contre Shein ou Temu peut faire consensus, mais la réduction plus large de la fast fashion affecterait aussi des enseignes implantées dans les centres-villes, avec des conséquences sur l’emploi et le commerce local. La circularité suppose donc une anticipation sociale et territoriale.</w:t>
      </w:r>
    </w:p>
    <w:p w14:paraId="3E95EECA" w14:textId="77777777" w:rsidR="00E90C06" w:rsidRPr="00E90C06" w:rsidRDefault="00E90C06" w:rsidP="00673A77">
      <w:pPr>
        <w:jc w:val="both"/>
      </w:pPr>
      <w:r w:rsidRPr="00E90C06">
        <w:t>Elle évoque enfin les enjeux de financement. Les besoins d’investissement sont identifiés, mais les financements restent insuffisants. La baisse de TVA sur les opérations de réparation, largement soutenue mais non concrétisée, illustre la difficulté à financer dès aujourd’hui des modèles économiques encore fragiles, mais indispensables demain.</w:t>
      </w:r>
    </w:p>
    <w:p w14:paraId="18F685CA" w14:textId="77777777" w:rsidR="00E90C06" w:rsidRPr="00E90C06" w:rsidRDefault="00E90C06" w:rsidP="00673A77">
      <w:pPr>
        <w:jc w:val="both"/>
      </w:pPr>
      <w:r w:rsidRPr="00E90C06">
        <w:rPr>
          <w:b/>
          <w:bCs/>
        </w:rPr>
        <w:lastRenderedPageBreak/>
        <w:t>Clôture : planification, infrastructures et financement de long terne</w:t>
      </w:r>
    </w:p>
    <w:p w14:paraId="44775805" w14:textId="77777777" w:rsidR="00E90C06" w:rsidRPr="00E90C06" w:rsidRDefault="00E90C06" w:rsidP="00673A77">
      <w:pPr>
        <w:jc w:val="both"/>
      </w:pPr>
      <w:r w:rsidRPr="00E90C06">
        <w:t>Antoine Pellion reprend les principaux enseignements de la matinée. Les interventions ont montré que les politiques de transition écologique et les politiques de souveraineté convergent fortement, qu’il s’agisse d’énergie, d’agriculture, d’alimentation, de matières, de circularité ou de réparation.</w:t>
      </w:r>
    </w:p>
    <w:p w14:paraId="31789627" w14:textId="77777777" w:rsidR="00E90C06" w:rsidRPr="00E90C06" w:rsidRDefault="00E90C06" w:rsidP="00673A77">
      <w:pPr>
        <w:jc w:val="both"/>
      </w:pPr>
      <w:r w:rsidRPr="00E90C06">
        <w:t>Il souligne d’abord l’importance des politiques de la demande, revenues à plusieurs reprises dans les échanges : demande énergétique, demande alimentaire, demande de produits réparables, commande publique, choix d’achat, environnements de consommation. La transition ne peut pas reposer uniquement sur l’offre technologique ou industrielle ; elle suppose aussi d’organiser les usages et les débouchés.</w:t>
      </w:r>
    </w:p>
    <w:p w14:paraId="7A2523F1" w14:textId="77777777" w:rsidR="00E90C06" w:rsidRPr="00E90C06" w:rsidRDefault="00E90C06" w:rsidP="00673A77">
      <w:pPr>
        <w:jc w:val="both"/>
      </w:pPr>
      <w:r w:rsidRPr="00E90C06">
        <w:t>Il insiste ensuite sur l’importance de la planification. Celle-ci est indispensable pour mettre en regard les besoins sectoriels, arbitrer les usages concurrents des ressources, organiser la montée en puissance des filières et éviter les incohérences entre politiques publiques. Les enjeux de biomasse, d’énergie bas-carbone, de matières critiques, de foncier, de biodiversité et de réindustrialisation ne peuvent pas être traités séparément.</w:t>
      </w:r>
    </w:p>
    <w:p w14:paraId="7DE0C337" w14:textId="77777777" w:rsidR="00E90C06" w:rsidRPr="00E90C06" w:rsidRDefault="00E90C06" w:rsidP="00673A77">
      <w:pPr>
        <w:jc w:val="both"/>
      </w:pPr>
      <w:r w:rsidRPr="00E90C06">
        <w:t>Le financement constitue le dernier point de convergence. Beaucoup de solutions relèvent d’infrastructures de long terme : infrastructures énergétiques, bâtiments, réseaux, outils agricoles, capacités de transformation, filières de recyclage, lieux de réparation, équipements industriels, solutions territoriales. Ces infrastructures ont souvent une dimension de service collectif et nécessitent des modèles économiques capables d’amortir les coûts dans la durée.</w:t>
      </w:r>
    </w:p>
    <w:p w14:paraId="32AE2020" w14:textId="77777777" w:rsidR="00E90C06" w:rsidRPr="00E90C06" w:rsidRDefault="00E90C06" w:rsidP="00673A77">
      <w:pPr>
        <w:jc w:val="both"/>
      </w:pPr>
      <w:r w:rsidRPr="00E90C06">
        <w:t>Antoine Pellion souligne ainsi le rôle potentiel d’acteurs comme la Caisse des Dépôts, capables de financer, structurer et accompagner des infrastructures de long terme, en articulation avec les collectivités, l’État et les acteurs privés. La transition écologique, envisagée comme levier de souveraineté, appelle des modalités de financement adaptées : investissement de long terme, mutualisation des risques, modèles économiques soutenables.</w:t>
      </w:r>
    </w:p>
    <w:p w14:paraId="5D132AF0" w14:textId="77777777" w:rsidR="00E90C06" w:rsidRPr="00E90C06" w:rsidRDefault="00E90C06" w:rsidP="00673A77">
      <w:pPr>
        <w:jc w:val="both"/>
      </w:pPr>
      <w:r w:rsidRPr="00E90C06">
        <w:t>La séance se conclut sur une idée mobilisatrice : les solutions existent, mais elles nécessitent une action collective, coordonnée et planifiée. La souveraineté peut devenir un levier de relance de la transition si elle permet de dépasser le récit de la contrainte individuelle pour construire un récit d’autonomie collective, de santé, de cohésion sociale et de résilience économique.</w:t>
      </w:r>
    </w:p>
    <w:p w14:paraId="160A51F6" w14:textId="77777777" w:rsidR="00987393" w:rsidRPr="00E90C06" w:rsidRDefault="00987393" w:rsidP="00673A77">
      <w:pPr>
        <w:jc w:val="both"/>
      </w:pPr>
    </w:p>
    <w:sectPr w:rsidR="00987393" w:rsidRPr="00E90C06">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7B96" w14:textId="77777777" w:rsidR="00E90C06" w:rsidRDefault="00E90C06" w:rsidP="00E90C06">
      <w:pPr>
        <w:spacing w:after="0" w:line="240" w:lineRule="auto"/>
      </w:pPr>
      <w:r>
        <w:separator/>
      </w:r>
    </w:p>
  </w:endnote>
  <w:endnote w:type="continuationSeparator" w:id="0">
    <w:p w14:paraId="509DF24E" w14:textId="77777777" w:rsidR="00E90C06" w:rsidRDefault="00E90C06" w:rsidP="00E9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591B" w14:textId="0F6B5514" w:rsidR="00E90C06" w:rsidRDefault="00E90C06">
    <w:pPr>
      <w:pStyle w:val="Pieddepage"/>
    </w:pPr>
    <w:r>
      <w:rPr>
        <w:noProof/>
      </w:rPr>
      <mc:AlternateContent>
        <mc:Choice Requires="wps">
          <w:drawing>
            <wp:anchor distT="0" distB="0" distL="0" distR="0" simplePos="0" relativeHeight="251659264" behindDoc="0" locked="0" layoutInCell="1" allowOverlap="1" wp14:anchorId="23AB9E29" wp14:editId="2EF1919F">
              <wp:simplePos x="635" y="635"/>
              <wp:positionH relativeFrom="page">
                <wp:align>left</wp:align>
              </wp:positionH>
              <wp:positionV relativeFrom="page">
                <wp:align>bottom</wp:align>
              </wp:positionV>
              <wp:extent cx="630555" cy="357505"/>
              <wp:effectExtent l="0" t="0" r="17145" b="0"/>
              <wp:wrapNone/>
              <wp:docPr id="1815524991"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57505"/>
                      </a:xfrm>
                      <a:prstGeom prst="rect">
                        <a:avLst/>
                      </a:prstGeom>
                      <a:noFill/>
                      <a:ln>
                        <a:noFill/>
                      </a:ln>
                    </wps:spPr>
                    <wps:txbx>
                      <w:txbxContent>
                        <w:p w14:paraId="0BFD1A80" w14:textId="07EE4F1C"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AB9E29" id="_x0000_t202" coordsize="21600,21600" o:spt="202" path="m,l,21600r21600,l21600,xe">
              <v:stroke joinstyle="miter"/>
              <v:path gradientshapeok="t" o:connecttype="rect"/>
            </v:shapetype>
            <v:shape id="Zone de texte 2" o:spid="_x0000_s1026" type="#_x0000_t202" alt="Interne" style="position:absolute;margin-left:0;margin-top:0;width:49.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" filled="f" stroked="f">
              <v:fill o:detectmouseclick="t"/>
              <v:textbox style="mso-fit-shape-to-text:t" inset="20pt,0,0,15pt">
                <w:txbxContent>
                  <w:p w14:paraId="0BFD1A80" w14:textId="07EE4F1C"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BCBB" w14:textId="4A1C2BCB" w:rsidR="00E90C06" w:rsidRDefault="00E90C06">
    <w:pPr>
      <w:pStyle w:val="Pieddepage"/>
    </w:pPr>
    <w:r>
      <w:rPr>
        <w:noProof/>
      </w:rPr>
      <mc:AlternateContent>
        <mc:Choice Requires="wps">
          <w:drawing>
            <wp:anchor distT="0" distB="0" distL="0" distR="0" simplePos="0" relativeHeight="251660288" behindDoc="0" locked="0" layoutInCell="1" allowOverlap="1" wp14:anchorId="35C8DAD8" wp14:editId="79B39FB9">
              <wp:simplePos x="901700" y="10071100"/>
              <wp:positionH relativeFrom="page">
                <wp:align>left</wp:align>
              </wp:positionH>
              <wp:positionV relativeFrom="page">
                <wp:align>bottom</wp:align>
              </wp:positionV>
              <wp:extent cx="630555" cy="357505"/>
              <wp:effectExtent l="0" t="0" r="17145" b="0"/>
              <wp:wrapNone/>
              <wp:docPr id="130447476"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57505"/>
                      </a:xfrm>
                      <a:prstGeom prst="rect">
                        <a:avLst/>
                      </a:prstGeom>
                      <a:noFill/>
                      <a:ln>
                        <a:noFill/>
                      </a:ln>
                    </wps:spPr>
                    <wps:txbx>
                      <w:txbxContent>
                        <w:p w14:paraId="1890283F" w14:textId="6D64C90F"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C8DAD8" id="_x0000_t202" coordsize="21600,21600" o:spt="202" path="m,l,21600r21600,l21600,xe">
              <v:stroke joinstyle="miter"/>
              <v:path gradientshapeok="t" o:connecttype="rect"/>
            </v:shapetype>
            <v:shape id="Zone de texte 3" o:spid="_x0000_s1027" type="#_x0000_t202" alt="Interne" style="position:absolute;margin-left:0;margin-top:0;width:49.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" filled="f" stroked="f">
              <v:fill o:detectmouseclick="t"/>
              <v:textbox style="mso-fit-shape-to-text:t" inset="20pt,0,0,15pt">
                <w:txbxContent>
                  <w:p w14:paraId="1890283F" w14:textId="6D64C90F"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696B" w14:textId="6C16CA89" w:rsidR="00E90C06" w:rsidRDefault="00E90C06">
    <w:pPr>
      <w:pStyle w:val="Pieddepage"/>
    </w:pPr>
    <w:r>
      <w:rPr>
        <w:noProof/>
      </w:rPr>
      <mc:AlternateContent>
        <mc:Choice Requires="wps">
          <w:drawing>
            <wp:anchor distT="0" distB="0" distL="0" distR="0" simplePos="0" relativeHeight="251658240" behindDoc="0" locked="0" layoutInCell="1" allowOverlap="1" wp14:anchorId="4164D5BE" wp14:editId="355619E5">
              <wp:simplePos x="635" y="635"/>
              <wp:positionH relativeFrom="page">
                <wp:align>left</wp:align>
              </wp:positionH>
              <wp:positionV relativeFrom="page">
                <wp:align>bottom</wp:align>
              </wp:positionV>
              <wp:extent cx="630555" cy="357505"/>
              <wp:effectExtent l="0" t="0" r="17145" b="0"/>
              <wp:wrapNone/>
              <wp:docPr id="192549413"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0555" cy="357505"/>
                      </a:xfrm>
                      <a:prstGeom prst="rect">
                        <a:avLst/>
                      </a:prstGeom>
                      <a:noFill/>
                      <a:ln>
                        <a:noFill/>
                      </a:ln>
                    </wps:spPr>
                    <wps:txbx>
                      <w:txbxContent>
                        <w:p w14:paraId="6BF5289B" w14:textId="3723AC8F"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64D5BE" id="_x0000_t202" coordsize="21600,21600" o:spt="202" path="m,l,21600r21600,l21600,xe">
              <v:stroke joinstyle="miter"/>
              <v:path gradientshapeok="t" o:connecttype="rect"/>
            </v:shapetype>
            <v:shape id="Zone de texte 1" o:spid="_x0000_s1028" type="#_x0000_t202" alt="Interne" style="position:absolute;margin-left:0;margin-top:0;width:49.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" filled="f" stroked="f">
              <v:fill o:detectmouseclick="t"/>
              <v:textbox style="mso-fit-shape-to-text:t" inset="20pt,0,0,15pt">
                <w:txbxContent>
                  <w:p w14:paraId="6BF5289B" w14:textId="3723AC8F" w:rsidR="00E90C06" w:rsidRPr="00E90C06" w:rsidRDefault="00E90C06" w:rsidP="00E90C06">
                    <w:pPr>
                      <w:spacing w:after="0"/>
                      <w:rPr>
                        <w:rFonts w:ascii="Calibri" w:eastAsia="Calibri" w:hAnsi="Calibri" w:cs="Calibri"/>
                        <w:noProof/>
                        <w:color w:val="FF0000"/>
                        <w:sz w:val="20"/>
                        <w:szCs w:val="20"/>
                      </w:rPr>
                    </w:pPr>
                    <w:r w:rsidRPr="00E90C06">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19B7" w14:textId="77777777" w:rsidR="00E90C06" w:rsidRDefault="00E90C06" w:rsidP="00E90C06">
      <w:pPr>
        <w:spacing w:after="0" w:line="240" w:lineRule="auto"/>
      </w:pPr>
      <w:r>
        <w:separator/>
      </w:r>
    </w:p>
  </w:footnote>
  <w:footnote w:type="continuationSeparator" w:id="0">
    <w:p w14:paraId="2D6803E8" w14:textId="77777777" w:rsidR="00E90C06" w:rsidRDefault="00E90C06" w:rsidP="00E90C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06"/>
    <w:rsid w:val="00092F17"/>
    <w:rsid w:val="003D21D4"/>
    <w:rsid w:val="00673A77"/>
    <w:rsid w:val="00987393"/>
    <w:rsid w:val="00BF016C"/>
    <w:rsid w:val="00C3170C"/>
    <w:rsid w:val="00E90C06"/>
    <w:rsid w:val="00F271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445B"/>
  <w15:chartTrackingRefBased/>
  <w15:docId w15:val="{7F86B76E-D1AB-400A-8D62-85460C29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C0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C0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0C0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0C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C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C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C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C0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C0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C0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0C0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0C0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0C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C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C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C06"/>
    <w:rPr>
      <w:rFonts w:eastAsiaTheme="majorEastAsia" w:cstheme="majorBidi"/>
      <w:color w:val="272727" w:themeColor="text1" w:themeTint="D8"/>
    </w:rPr>
  </w:style>
  <w:style w:type="paragraph" w:styleId="Titre">
    <w:name w:val="Title"/>
    <w:basedOn w:val="Normal"/>
    <w:next w:val="Normal"/>
    <w:link w:val="TitreCar"/>
    <w:uiPriority w:val="10"/>
    <w:qFormat/>
    <w:rsid w:val="00E9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C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C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C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C06"/>
    <w:pPr>
      <w:spacing w:before="160"/>
      <w:jc w:val="center"/>
    </w:pPr>
    <w:rPr>
      <w:i/>
      <w:iCs/>
      <w:color w:val="404040" w:themeColor="text1" w:themeTint="BF"/>
    </w:rPr>
  </w:style>
  <w:style w:type="character" w:customStyle="1" w:styleId="CitationCar">
    <w:name w:val="Citation Car"/>
    <w:basedOn w:val="Policepardfaut"/>
    <w:link w:val="Citation"/>
    <w:uiPriority w:val="29"/>
    <w:rsid w:val="00E90C06"/>
    <w:rPr>
      <w:i/>
      <w:iCs/>
      <w:color w:val="404040" w:themeColor="text1" w:themeTint="BF"/>
    </w:rPr>
  </w:style>
  <w:style w:type="paragraph" w:styleId="Paragraphedeliste">
    <w:name w:val="List Paragraph"/>
    <w:basedOn w:val="Normal"/>
    <w:uiPriority w:val="34"/>
    <w:qFormat/>
    <w:rsid w:val="00E90C06"/>
    <w:pPr>
      <w:ind w:left="720"/>
      <w:contextualSpacing/>
    </w:pPr>
  </w:style>
  <w:style w:type="character" w:styleId="Accentuationintense">
    <w:name w:val="Intense Emphasis"/>
    <w:basedOn w:val="Policepardfaut"/>
    <w:uiPriority w:val="21"/>
    <w:qFormat/>
    <w:rsid w:val="00E90C06"/>
    <w:rPr>
      <w:i/>
      <w:iCs/>
      <w:color w:val="0F4761" w:themeColor="accent1" w:themeShade="BF"/>
    </w:rPr>
  </w:style>
  <w:style w:type="paragraph" w:styleId="Citationintense">
    <w:name w:val="Intense Quote"/>
    <w:basedOn w:val="Normal"/>
    <w:next w:val="Normal"/>
    <w:link w:val="CitationintenseCar"/>
    <w:uiPriority w:val="30"/>
    <w:qFormat/>
    <w:rsid w:val="00E9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C06"/>
    <w:rPr>
      <w:i/>
      <w:iCs/>
      <w:color w:val="0F4761" w:themeColor="accent1" w:themeShade="BF"/>
    </w:rPr>
  </w:style>
  <w:style w:type="character" w:styleId="Rfrenceintense">
    <w:name w:val="Intense Reference"/>
    <w:basedOn w:val="Policepardfaut"/>
    <w:uiPriority w:val="32"/>
    <w:qFormat/>
    <w:rsid w:val="00E90C06"/>
    <w:rPr>
      <w:b/>
      <w:bCs/>
      <w:smallCaps/>
      <w:color w:val="0F4761" w:themeColor="accent1" w:themeShade="BF"/>
      <w:spacing w:val="5"/>
    </w:rPr>
  </w:style>
  <w:style w:type="paragraph" w:styleId="Pieddepage">
    <w:name w:val="footer"/>
    <w:basedOn w:val="Normal"/>
    <w:link w:val="PieddepageCar"/>
    <w:uiPriority w:val="99"/>
    <w:unhideWhenUsed/>
    <w:rsid w:val="00E90C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53200">
      <w:bodyDiv w:val="1"/>
      <w:marLeft w:val="0"/>
      <w:marRight w:val="0"/>
      <w:marTop w:val="0"/>
      <w:marBottom w:val="0"/>
      <w:divBdr>
        <w:top w:val="none" w:sz="0" w:space="0" w:color="auto"/>
        <w:left w:val="none" w:sz="0" w:space="0" w:color="auto"/>
        <w:bottom w:val="none" w:sz="0" w:space="0" w:color="auto"/>
        <w:right w:val="none" w:sz="0" w:space="0" w:color="auto"/>
      </w:divBdr>
    </w:div>
    <w:div w:id="92696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4515</Words>
  <Characters>27046</Characters>
  <Application>Microsoft Office Word</Application>
  <DocSecurity>0</DocSecurity>
  <Lines>375</Lines>
  <Paragraphs>89</Paragraphs>
  <ScaleCrop>false</ScaleCrop>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Cuzou, Christelle</dc:creator>
  <cp:keywords/>
  <dc:description/>
  <cp:lastModifiedBy>Cuzou, Christelle</cp:lastModifiedBy>
  <cp:revision>3</cp:revision>
  <dcterms:created xsi:type="dcterms:W3CDTF">2026-06-12T15:02:00Z</dcterms:created>
  <dcterms:modified xsi:type="dcterms:W3CDTF">2026-06-12T15:14:00Z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b7a1225,6c36b67f,7c67874</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2026-06-12T15:05:23Z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97937e29-7661-41e7-8c4e-4c294b0465f6</vt:lpwstr>
  </property>
  <property fmtid="{D5CDD505-2E9C-101B-9397-08002B2CF9AE}" pid="11" name="MSIP_Label_94e1e3e5-28aa-42d2-a9d5-f117a2286530_ContentBits">
    <vt:lpwstr>2</vt:lpwstr>
  </property>
  <property fmtid="{D5CDD505-2E9C-101B-9397-08002B2CF9AE}" pid="12" name="MSIP_Label_94e1e3e5-28aa-42d2-a9d5-f117a2286530_Tag">
    <vt:lpwstr>10, 3, 0, 1</vt:lpwstr>
  </property>
</Properties>
</file>